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6AC6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231BA55" wp14:editId="18C5FEE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DD5B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361EB70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E91F96F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11AF7AE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29CBEAE" w14:textId="77777777" w:rsidR="00A83C78" w:rsidRPr="00CE796E" w:rsidRDefault="003D1FC7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A83C78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24BE557" w14:textId="77777777" w:rsidR="00A83C78" w:rsidRPr="0004747B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4AA030F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3. augusztus 28.</w:t>
      </w:r>
      <w:r w:rsidRPr="0004747B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19444918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B4CDBF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741F6EE" w14:textId="610B5301" w:rsidR="00A83C78" w:rsidRDefault="00A83C78" w:rsidP="00A83C7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gyermekétkeztetés intézményi térítési díjáról szóló önkormányzati rendelet módosítása </w:t>
      </w:r>
    </w:p>
    <w:p w14:paraId="22E5B02A" w14:textId="77777777" w:rsidR="00A83C78" w:rsidRPr="009D3BAC" w:rsidRDefault="00A83C78" w:rsidP="00A83C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3F83F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08.</w:t>
      </w:r>
      <w:r w:rsidRPr="0004747B">
        <w:rPr>
          <w:rFonts w:ascii="Times New Roman" w:hAnsi="Times New Roman" w:cs="Times New Roman"/>
        </w:rPr>
        <w:t xml:space="preserve"> </w:t>
      </w:r>
      <w:r w:rsidRPr="007B01C1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</w:rPr>
        <w:t>.</w:t>
      </w:r>
    </w:p>
    <w:p w14:paraId="0D77838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11024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CFE5299" w14:textId="77777777" w:rsidR="00A83C78" w:rsidRPr="00E14550" w:rsidRDefault="00A83C78" w:rsidP="00A83C7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B38F07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A82B20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2F53A2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rendkívüli</w:t>
      </w:r>
    </w:p>
    <w:p w14:paraId="34C56C39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14D59011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00488FB" w14:textId="77777777" w:rsidR="00A83C78" w:rsidRPr="004E70AC" w:rsidRDefault="00A83C78" w:rsidP="00A83C78">
      <w:pPr>
        <w:spacing w:after="0"/>
        <w:jc w:val="both"/>
      </w:pPr>
    </w:p>
    <w:p w14:paraId="2907F6DA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3195D1BA" w14:textId="77777777" w:rsidR="00A83C78" w:rsidRPr="004E70AC" w:rsidRDefault="00A83C78" w:rsidP="00A83C78">
      <w:pPr>
        <w:spacing w:after="0"/>
        <w:rPr>
          <w:rFonts w:ascii="Times New Roman" w:hAnsi="Times New Roman" w:cs="Times New Roman"/>
          <w:b/>
        </w:rPr>
      </w:pPr>
    </w:p>
    <w:p w14:paraId="5B9B9FD0" w14:textId="77777777" w:rsidR="00A83C78" w:rsidRPr="004E70AC" w:rsidRDefault="00A83C78" w:rsidP="00A83C78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2. Jogszabályi hivatkozások</w:t>
      </w:r>
      <w:r w:rsidRPr="004E70A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-----</w:t>
      </w:r>
    </w:p>
    <w:p w14:paraId="7C4EE732" w14:textId="77777777" w:rsidR="00A83C78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A0853EF" w14:textId="77777777" w:rsidR="00A83C78" w:rsidRPr="009C7EA2" w:rsidRDefault="00A83C78" w:rsidP="00A83C78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C7EA2">
        <w:rPr>
          <w:rFonts w:ascii="Times New Roman" w:hAnsi="Times New Roman" w:cs="Times New Roman"/>
          <w:bCs/>
        </w:rPr>
        <w:t>Mindenkori</w:t>
      </w:r>
      <w:r>
        <w:rPr>
          <w:rFonts w:ascii="Times New Roman" w:hAnsi="Times New Roman" w:cs="Times New Roman"/>
          <w:b/>
        </w:rPr>
        <w:t xml:space="preserve"> </w:t>
      </w:r>
      <w:r w:rsidRPr="009C7EA2">
        <w:rPr>
          <w:rFonts w:ascii="Times New Roman" w:hAnsi="Times New Roman" w:cs="Times New Roman"/>
          <w:bCs/>
        </w:rPr>
        <w:t>költségvetési források</w:t>
      </w:r>
    </w:p>
    <w:p w14:paraId="2C88F1E2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i/>
        </w:rPr>
      </w:pPr>
    </w:p>
    <w:p w14:paraId="1CB440E6" w14:textId="77777777" w:rsidR="00A83C78" w:rsidRPr="00626AB4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4. Tényállás bemutatása: </w:t>
      </w:r>
    </w:p>
    <w:p w14:paraId="4A2A6A35" w14:textId="77777777" w:rsidR="00A83C78" w:rsidRDefault="00A83C78" w:rsidP="00A83C78">
      <w:pPr>
        <w:pStyle w:val="Szvegtrzsbehzssal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58394500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 xml:space="preserve">Telki község közigazgatási területén található nevelési és közoktatási intézményekben a gyermekétkeztetési feladatokat 2022.szeptember 1. napjától 24 hónap határozott időtartamra a </w:t>
      </w:r>
      <w:proofErr w:type="spellStart"/>
      <w:r w:rsidRPr="00217248">
        <w:rPr>
          <w:rFonts w:ascii="Times New Roman" w:hAnsi="Times New Roman" w:cs="Times New Roman"/>
          <w:iCs/>
          <w:color w:val="000000" w:themeColor="text1"/>
        </w:rPr>
        <w:t>Hungast</w:t>
      </w:r>
      <w:proofErr w:type="spellEnd"/>
      <w:r w:rsidRPr="00217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217248">
        <w:rPr>
          <w:rFonts w:ascii="Times New Roman" w:hAnsi="Times New Roman" w:cs="Times New Roman"/>
          <w:iCs/>
          <w:color w:val="000000" w:themeColor="text1"/>
        </w:rPr>
        <w:t>Vital</w:t>
      </w:r>
      <w:proofErr w:type="spellEnd"/>
      <w:r w:rsidRPr="00217248">
        <w:rPr>
          <w:rFonts w:ascii="Times New Roman" w:hAnsi="Times New Roman" w:cs="Times New Roman"/>
          <w:iCs/>
          <w:color w:val="000000" w:themeColor="text1"/>
        </w:rPr>
        <w:t xml:space="preserve"> Kft. látja el.</w:t>
      </w:r>
    </w:p>
    <w:p w14:paraId="2818F15C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5FF02086" w14:textId="77777777" w:rsidR="00A83C78" w:rsidRPr="0021724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A vállalkozási szerződés </w:t>
      </w:r>
      <w:r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pontja alapján a </w:t>
      </w:r>
      <w:r>
        <w:rPr>
          <w:rFonts w:ascii="Times New Roman" w:hAnsi="Times New Roman" w:cs="Times New Roman"/>
          <w:color w:val="000000" w:themeColor="text1"/>
        </w:rPr>
        <w:t>V</w:t>
      </w:r>
      <w:r w:rsidRPr="00217248">
        <w:rPr>
          <w:rFonts w:ascii="Times New Roman" w:hAnsi="Times New Roman" w:cs="Times New Roman"/>
          <w:color w:val="000000" w:themeColor="text1"/>
        </w:rPr>
        <w:t xml:space="preserve">állalkozó első alkalommal 2023. szeptember 1. napjától jogosult kezdeményezni az egységárak megemelését a KSH által hivatalosan közzétett előző éves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szerződésben meghatározott arányban figyelembe vett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217248">
        <w:rPr>
          <w:rFonts w:ascii="Times New Roman" w:hAnsi="Times New Roman" w:cs="Times New Roman"/>
          <w:color w:val="000000" w:themeColor="text1"/>
        </w:rPr>
        <w:t xml:space="preserve">ágazati inflációs rátákkal. </w:t>
      </w:r>
    </w:p>
    <w:p w14:paraId="1A1CA72C" w14:textId="77777777" w:rsidR="00A83C78" w:rsidRDefault="00A83C78" w:rsidP="00A83C78">
      <w:pPr>
        <w:spacing w:after="0"/>
        <w:ind w:left="76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58460B70" w14:textId="0A7C391D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2023. </w:t>
      </w:r>
      <w:r>
        <w:rPr>
          <w:rFonts w:ascii="Times New Roman" w:hAnsi="Times New Roman" w:cs="Times New Roman"/>
          <w:color w:val="000000" w:themeColor="text1"/>
        </w:rPr>
        <w:t>08.17.</w:t>
      </w:r>
      <w:r w:rsidRPr="00217248">
        <w:rPr>
          <w:rFonts w:ascii="Times New Roman" w:hAnsi="Times New Roman" w:cs="Times New Roman"/>
          <w:color w:val="000000" w:themeColor="text1"/>
        </w:rPr>
        <w:t>-én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Hungast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Vital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Kft.</w:t>
      </w:r>
      <w:r w:rsidRPr="00217248">
        <w:rPr>
          <w:rFonts w:ascii="Times New Roman" w:hAnsi="Times New Roman" w:cs="Times New Roman"/>
          <w:color w:val="000000" w:themeColor="text1"/>
        </w:rPr>
        <w:t xml:space="preserve"> képviselői a vállalkozási szerződés </w:t>
      </w:r>
      <w:r>
        <w:rPr>
          <w:rFonts w:ascii="Times New Roman" w:hAnsi="Times New Roman" w:cs="Times New Roman"/>
          <w:color w:val="000000" w:themeColor="text1"/>
        </w:rPr>
        <w:t>V.7</w:t>
      </w:r>
      <w:r w:rsidRPr="00217248">
        <w:rPr>
          <w:rFonts w:ascii="Times New Roman" w:hAnsi="Times New Roman" w:cs="Times New Roman"/>
          <w:color w:val="000000" w:themeColor="text1"/>
        </w:rPr>
        <w:t xml:space="preserve"> pontjában rögzített számítási módnak és felhatalmazásnak megfelelően elkészítették a szolgáltatási díj felülvizsgálatára vonatkozó javaslatukat, amely alapján a 202</w:t>
      </w:r>
      <w:r>
        <w:rPr>
          <w:rFonts w:ascii="Times New Roman" w:hAnsi="Times New Roman" w:cs="Times New Roman"/>
          <w:color w:val="000000" w:themeColor="text1"/>
        </w:rPr>
        <w:t xml:space="preserve">3. szeptember </w:t>
      </w:r>
      <w:r w:rsidRPr="00217248">
        <w:rPr>
          <w:rFonts w:ascii="Times New Roman" w:hAnsi="Times New Roman" w:cs="Times New Roman"/>
          <w:color w:val="000000" w:themeColor="text1"/>
        </w:rPr>
        <w:t xml:space="preserve">1. napjától </w:t>
      </w:r>
      <w:r>
        <w:rPr>
          <w:rFonts w:ascii="Times New Roman" w:hAnsi="Times New Roman" w:cs="Times New Roman"/>
          <w:color w:val="000000" w:themeColor="text1"/>
        </w:rPr>
        <w:t xml:space="preserve">19,75 </w:t>
      </w:r>
      <w:r w:rsidRPr="00217248">
        <w:rPr>
          <w:rFonts w:ascii="Times New Roman" w:hAnsi="Times New Roman" w:cs="Times New Roman"/>
          <w:color w:val="000000" w:themeColor="text1"/>
        </w:rPr>
        <w:t>%-os emelést javasoltak a nettó szolgáltatási árak tekintetében.</w:t>
      </w:r>
    </w:p>
    <w:p w14:paraId="71C99491" w14:textId="77777777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01A1260" w14:textId="64E34346" w:rsidR="00A83C78" w:rsidRDefault="003D1FC7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Ennek elfogadása esetén a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 2023. szeptember 1-től életbe lépő árváltozás a nyersanyagnormák emelkedését is maga után vonja, így az önkormányzatnak szükséges a </w:t>
      </w:r>
      <w:r>
        <w:rPr>
          <w:rFonts w:ascii="Times New Roman" w:hAnsi="Times New Roman" w:cs="Times New Roman"/>
          <w:color w:val="000000" w:themeColor="text1"/>
        </w:rPr>
        <w:t xml:space="preserve">nyersanyagnorma és a szülők által fizetendő 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térítési díj </w:t>
      </w:r>
      <w:r>
        <w:rPr>
          <w:rFonts w:ascii="Times New Roman" w:hAnsi="Times New Roman" w:cs="Times New Roman"/>
          <w:color w:val="000000" w:themeColor="text1"/>
        </w:rPr>
        <w:t xml:space="preserve">– melynek mértéke megegyezik a nyersanyag norma összegével - </w:t>
      </w:r>
      <w:r w:rsidR="00A83C78" w:rsidRPr="00217248">
        <w:rPr>
          <w:rFonts w:ascii="Times New Roman" w:hAnsi="Times New Roman" w:cs="Times New Roman"/>
          <w:color w:val="000000" w:themeColor="text1"/>
        </w:rPr>
        <w:t>mértékét módosítania.</w:t>
      </w:r>
    </w:p>
    <w:p w14:paraId="533FA25F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4B450AE0" w14:textId="2E204E52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A Polgármesteri Hivatal </w:t>
      </w:r>
      <w:r>
        <w:rPr>
          <w:rFonts w:ascii="Times New Roman" w:hAnsi="Times New Roman" w:cs="Times New Roman"/>
          <w:color w:val="000000" w:themeColor="text1"/>
        </w:rPr>
        <w:t>meg</w:t>
      </w:r>
      <w:r w:rsidRPr="00217248">
        <w:rPr>
          <w:rFonts w:ascii="Times New Roman" w:hAnsi="Times New Roman" w:cs="Times New Roman"/>
          <w:color w:val="000000" w:themeColor="text1"/>
        </w:rPr>
        <w:t>kérte az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Hungast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Vital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Kft</w:t>
      </w:r>
      <w:r w:rsidRPr="00217248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217248">
        <w:rPr>
          <w:rFonts w:ascii="Times New Roman" w:hAnsi="Times New Roman" w:cs="Times New Roman"/>
          <w:color w:val="000000" w:themeColor="text1"/>
        </w:rPr>
        <w:t>től</w:t>
      </w:r>
      <w:proofErr w:type="spellEnd"/>
      <w:r w:rsidRPr="00217248">
        <w:rPr>
          <w:rFonts w:ascii="Times New Roman" w:hAnsi="Times New Roman" w:cs="Times New Roman"/>
          <w:color w:val="000000" w:themeColor="text1"/>
        </w:rPr>
        <w:t xml:space="preserve"> a 2023. szeptember 1-től érvényes nyersanyagköltségek kimutatását, ennek alapján javasolja a </w:t>
      </w:r>
      <w:r>
        <w:rPr>
          <w:rFonts w:ascii="Times New Roman" w:hAnsi="Times New Roman" w:cs="Times New Roman"/>
          <w:color w:val="000000" w:themeColor="text1"/>
        </w:rPr>
        <w:t>T</w:t>
      </w:r>
      <w:r w:rsidRPr="00217248">
        <w:rPr>
          <w:rFonts w:ascii="Times New Roman" w:hAnsi="Times New Roman" w:cs="Times New Roman"/>
          <w:color w:val="000000" w:themeColor="text1"/>
        </w:rPr>
        <w:t>isztelt Képviselő-testületnek a fizetendő új térítési díjak elfogadását.</w:t>
      </w:r>
    </w:p>
    <w:p w14:paraId="32BF1096" w14:textId="77777777" w:rsidR="00A83C78" w:rsidRPr="0021724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6EC22D5" w14:textId="77777777" w:rsidR="00A83C78" w:rsidRPr="0021724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217248">
        <w:rPr>
          <w:rFonts w:ascii="Times New Roman" w:hAnsi="Times New Roman" w:cs="Times New Roman"/>
          <w:color w:val="000000" w:themeColor="text1"/>
        </w:rPr>
        <w:t xml:space="preserve">gyermekek védelméről és a gyámügyi igazgatásról szóló 1997. évi XXXI. törvény </w:t>
      </w:r>
      <w:proofErr w:type="gramStart"/>
      <w:r w:rsidRPr="00217248">
        <w:rPr>
          <w:rFonts w:ascii="Times New Roman" w:hAnsi="Times New Roman" w:cs="Times New Roman"/>
          <w:color w:val="000000" w:themeColor="text1"/>
        </w:rPr>
        <w:t>( továbbiakban</w:t>
      </w:r>
      <w:proofErr w:type="gramEnd"/>
      <w:r w:rsidRPr="0021724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>Gyvt</w:t>
      </w:r>
      <w:proofErr w:type="spellEnd"/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) 151.§. értelmében </w:t>
      </w:r>
    </w:p>
    <w:p w14:paraId="6EE52442" w14:textId="77777777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C012524" w14:textId="286968C5" w:rsidR="00A83C78" w:rsidRPr="007B01C1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(2f.) Ha a 21/A. § (1), (4) és (6) bekezdése szerinti gyermekétkeztetést a települési önkormányzat biztosítja, úgy az intézményi térítési díjat a települési önkormányzat állapítja meg.</w:t>
      </w:r>
    </w:p>
    <w:p w14:paraId="22FA8ECD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lastRenderedPageBreak/>
        <w:t>(3) A gyermekétkeztetés intézményi térítési díjának alapja az élelmezés nyersanyagköltségének egy ellátottra jutó napi összege.</w:t>
      </w:r>
    </w:p>
    <w:p w14:paraId="0145153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(3a)</w:t>
      </w:r>
      <w:hyperlink r:id="rId8" w:anchor="lbj1402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14:paraId="524B57B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(4)</w:t>
      </w:r>
      <w:hyperlink r:id="rId9" w:anchor="lbj1403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A gyermekétkeztetés személyi térítési díját az intézményvezető a (3) bekezdés szerinti napi összeg általános forgalmi adóval növelt összegének és az igénybe vett étkezések számának, valamint az 21/B. §-ban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 150. § (1)-(3) bekezdését nem kell alkalmazni.</w:t>
      </w:r>
    </w:p>
    <w:p w14:paraId="2F70C992" w14:textId="77777777" w:rsidR="00A83C78" w:rsidRPr="007B01C1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4F1ACED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21/B. § (1) Az intézményi gyermekétkeztetést ingyenesen kell biztosítani</w:t>
      </w:r>
    </w:p>
    <w:p w14:paraId="1683AD22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a) a bölcsődében, mini bölcsődében nyújtott bölcsődei ellátásban vagy </w:t>
      </w:r>
      <w:r w:rsidRPr="007B01C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óvodai nevelésben</w:t>
      </w: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részesülő gyermek számára, ha</w:t>
      </w:r>
    </w:p>
    <w:p w14:paraId="5495AB32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aa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rendszeres gyermekvédelmi kedvezményben részesül,</w:t>
      </w:r>
    </w:p>
    <w:p w14:paraId="0CD57FB3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ab) tartósan beteg vagy fogyatékos, vagy olyan családban él, amelyben tartósan beteg vagy fogyatékos gyermeket nevelnek,</w:t>
      </w:r>
    </w:p>
    <w:p w14:paraId="7590A408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ac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olyan családban él, amelyben három vagy több gyermeket nevelnek,</w:t>
      </w:r>
    </w:p>
    <w:p w14:paraId="48F1B4FA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ad) olyan családban él, amelyben a szülő nyilatkozata alapján az egy főre jutó havi jövedelem összege nem haladja meg a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</w:t>
      </w: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kötelező legkisebb munkabér személyi jövedelemadóval és társadalombiztosítási járulékkal csökkentett összegének 130%-át vagy</w:t>
      </w:r>
    </w:p>
    <w:p w14:paraId="7BB8AE36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ae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nevelésbe vették;</w:t>
      </w:r>
    </w:p>
    <w:p w14:paraId="7700542F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b) az 1-8. évfolyamon nappali rendszerű iskolai oktatásban részt vevő tanuló számára, ha</w:t>
      </w:r>
    </w:p>
    <w:p w14:paraId="62AA97F7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ba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rendszeres gyermekvédelmi kedvezményben részesül, vagy</w:t>
      </w:r>
    </w:p>
    <w:p w14:paraId="4594D98A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bb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nevelésbe vették;</w:t>
      </w:r>
    </w:p>
    <w:p w14:paraId="7A6A51CE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c) azon a) és b) pont szerinti életkorú, rendszeres gyermekvédelmi kedvezményben részesülő gyermek számára, akit fogyatékos gyermekek számára nappali ellátást nyújtó, az Szt. hatálya alá tartozó fogyatékosok nappali intézményében helyeztek el;</w:t>
      </w:r>
    </w:p>
    <w:p w14:paraId="5BD1416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5C6BFBF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(2) Az intézményi gyermekétkeztetést </w:t>
      </w:r>
      <w:r w:rsidRPr="007B01C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az intézményi térítési díj 50%-os normatív kedvezményével kell biztosítani</w:t>
      </w:r>
    </w:p>
    <w:p w14:paraId="34B6C61F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a) az 1-8. évfolyamon felül nappali rendszerű iskolai oktatásban részt vevő tanuló számára, ha rendszeres gyermekvédelmi kedvezményben részesül;</w:t>
      </w:r>
    </w:p>
    <w:p w14:paraId="62DB74E4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b) az 1-8. és az azon felüli évfolyamon nappali rendszerű iskolai oktatásban részt vevő tanuló számára, ha olyan családban él, amelyben három vagy több gyermeket nevelnek, feltéve, hogy az (1) bekezdés b) pont </w:t>
      </w:r>
      <w:proofErr w:type="spellStart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ba</w:t>
      </w:r>
      <w:proofErr w:type="spellEnd"/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 alpontja alapján a tanuló nem részesül ingyenes intézményi gyermekétkeztetésben;</w:t>
      </w:r>
    </w:p>
    <w:p w14:paraId="182042AC" w14:textId="77777777" w:rsidR="00A83C78" w:rsidRPr="007B01C1" w:rsidRDefault="00A83C78" w:rsidP="00A83C7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c) az (1) bekezdés a), b) és d) pontja szerinti életkorú, tartósan beteg vagy fogyatékos gyermek számára, feltéve, hogy az (1) bekezdés alapján a gyermek nem részesül ingyenes intézményi gyermekétkeztetésben.</w:t>
      </w:r>
    </w:p>
    <w:p w14:paraId="28AA6CEB" w14:textId="77777777" w:rsidR="00A83C78" w:rsidRPr="007B01C1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D214232" w14:textId="77777777" w:rsidR="00A83C78" w:rsidRPr="007B01C1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FF5554C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>Telki község önkormányzat képviselő-testülete legútóbb 2022.szeptember 1. hatállyal módosította.</w:t>
      </w:r>
    </w:p>
    <w:p w14:paraId="31D63C59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02D5E001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A jelenleg hatályos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 xml:space="preserve"> nyersanyagnorma/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intézményi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proofErr w:type="gramStart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434CE1B5" w14:textId="77777777" w:rsidTr="00C535C8">
        <w:tc>
          <w:tcPr>
            <w:tcW w:w="2547" w:type="dxa"/>
          </w:tcPr>
          <w:p w14:paraId="61FF264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146C808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218BD33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C33082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1CCD715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0825CB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742BBC3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4CE0346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046B2F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A83C78" w:rsidRPr="00217248" w14:paraId="15CFDF65" w14:textId="77777777" w:rsidTr="00C535C8">
        <w:tc>
          <w:tcPr>
            <w:tcW w:w="2547" w:type="dxa"/>
          </w:tcPr>
          <w:p w14:paraId="777BC221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61D362F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126" w:type="dxa"/>
          </w:tcPr>
          <w:p w14:paraId="0588D562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701" w:type="dxa"/>
          </w:tcPr>
          <w:p w14:paraId="6D6ECBC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956" w:type="dxa"/>
          </w:tcPr>
          <w:p w14:paraId="4E8D179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460</w:t>
            </w:r>
          </w:p>
        </w:tc>
      </w:tr>
      <w:tr w:rsidR="00A83C78" w:rsidRPr="00217248" w14:paraId="158E4157" w14:textId="77777777" w:rsidTr="00C535C8">
        <w:tc>
          <w:tcPr>
            <w:tcW w:w="2547" w:type="dxa"/>
          </w:tcPr>
          <w:p w14:paraId="62B9D4BF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0E237FED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126" w:type="dxa"/>
          </w:tcPr>
          <w:p w14:paraId="02EF6717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1701" w:type="dxa"/>
          </w:tcPr>
          <w:p w14:paraId="3552957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956" w:type="dxa"/>
          </w:tcPr>
          <w:p w14:paraId="3C3D450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575</w:t>
            </w:r>
          </w:p>
        </w:tc>
      </w:tr>
      <w:tr w:rsidR="00A83C78" w:rsidRPr="00217248" w14:paraId="469AA944" w14:textId="77777777" w:rsidTr="00C535C8">
        <w:tc>
          <w:tcPr>
            <w:tcW w:w="2547" w:type="dxa"/>
          </w:tcPr>
          <w:p w14:paraId="0D6D5CA2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378764E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036D8A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33220CE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3C55E76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A83C78" w:rsidRPr="00217248" w14:paraId="0E5E642D" w14:textId="77777777" w:rsidTr="00C535C8">
        <w:tc>
          <w:tcPr>
            <w:tcW w:w="2547" w:type="dxa"/>
          </w:tcPr>
          <w:p w14:paraId="365C698C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124A038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2126" w:type="dxa"/>
          </w:tcPr>
          <w:p w14:paraId="3C75A8C2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701" w:type="dxa"/>
          </w:tcPr>
          <w:p w14:paraId="08D7F11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956" w:type="dxa"/>
          </w:tcPr>
          <w:p w14:paraId="5F48FEA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585</w:t>
            </w:r>
          </w:p>
        </w:tc>
      </w:tr>
      <w:tr w:rsidR="00A83C78" w:rsidRPr="00217248" w14:paraId="5B8E2A0F" w14:textId="77777777" w:rsidTr="00C535C8">
        <w:tc>
          <w:tcPr>
            <w:tcW w:w="2547" w:type="dxa"/>
          </w:tcPr>
          <w:p w14:paraId="5635D076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698B2EF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2126" w:type="dxa"/>
          </w:tcPr>
          <w:p w14:paraId="1B95630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457</w:t>
            </w:r>
          </w:p>
        </w:tc>
        <w:tc>
          <w:tcPr>
            <w:tcW w:w="1701" w:type="dxa"/>
          </w:tcPr>
          <w:p w14:paraId="4D046D83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956" w:type="dxa"/>
          </w:tcPr>
          <w:p w14:paraId="3DEA2B5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732</w:t>
            </w:r>
          </w:p>
        </w:tc>
      </w:tr>
      <w:tr w:rsidR="00A83C78" w:rsidRPr="00217248" w14:paraId="3EC71F61" w14:textId="77777777" w:rsidTr="00C535C8">
        <w:tc>
          <w:tcPr>
            <w:tcW w:w="2547" w:type="dxa"/>
          </w:tcPr>
          <w:p w14:paraId="77F05FC8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5B976FC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5BA8AD90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71175FF3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28C8EA0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</w:tbl>
    <w:p w14:paraId="780BAA58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292F790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Javasolt emelés után nyersanyagnorma/i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proofErr w:type="gramStart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)</w:t>
      </w:r>
    </w:p>
    <w:p w14:paraId="0B304A6C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1B865C0A" w14:textId="77777777" w:rsidTr="00C535C8">
        <w:tc>
          <w:tcPr>
            <w:tcW w:w="2547" w:type="dxa"/>
          </w:tcPr>
          <w:p w14:paraId="56A3D57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66422ED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140B054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5D6709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0EA993F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A9D448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1E5B409F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2DCAC91D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7921D9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A83C78" w:rsidRPr="00217248" w14:paraId="493B64A0" w14:textId="77777777" w:rsidTr="00C535C8">
        <w:tc>
          <w:tcPr>
            <w:tcW w:w="2547" w:type="dxa"/>
          </w:tcPr>
          <w:p w14:paraId="0C859CDD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7CDF8AB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2126" w:type="dxa"/>
          </w:tcPr>
          <w:p w14:paraId="26D9BD2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701" w:type="dxa"/>
          </w:tcPr>
          <w:p w14:paraId="0A39D12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956" w:type="dxa"/>
          </w:tcPr>
          <w:p w14:paraId="67191B5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  <w:tr w:rsidR="00A83C78" w:rsidRPr="00217248" w14:paraId="5F8604AD" w14:textId="77777777" w:rsidTr="00C535C8">
        <w:tc>
          <w:tcPr>
            <w:tcW w:w="2547" w:type="dxa"/>
          </w:tcPr>
          <w:p w14:paraId="06901D8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61CA7260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126" w:type="dxa"/>
          </w:tcPr>
          <w:p w14:paraId="2E92CA02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1701" w:type="dxa"/>
          </w:tcPr>
          <w:p w14:paraId="505C6F3D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956" w:type="dxa"/>
          </w:tcPr>
          <w:p w14:paraId="05246010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689</w:t>
            </w:r>
          </w:p>
        </w:tc>
      </w:tr>
      <w:tr w:rsidR="00A83C78" w:rsidRPr="00217248" w14:paraId="6A3897F3" w14:textId="77777777" w:rsidTr="00C535C8">
        <w:tc>
          <w:tcPr>
            <w:tcW w:w="2547" w:type="dxa"/>
          </w:tcPr>
          <w:p w14:paraId="336E49E6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2915C95C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43DA88D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31C17A33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6679D04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A83C78" w:rsidRPr="00217248" w14:paraId="4B2B9A31" w14:textId="77777777" w:rsidTr="00C535C8">
        <w:tc>
          <w:tcPr>
            <w:tcW w:w="2547" w:type="dxa"/>
          </w:tcPr>
          <w:p w14:paraId="182A22CA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23856D3C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2126" w:type="dxa"/>
          </w:tcPr>
          <w:p w14:paraId="50BC6612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1701" w:type="dxa"/>
          </w:tcPr>
          <w:p w14:paraId="66A4A11F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956" w:type="dxa"/>
          </w:tcPr>
          <w:p w14:paraId="54C6014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</w:tr>
      <w:tr w:rsidR="00A83C78" w:rsidRPr="00217248" w14:paraId="59337D3B" w14:textId="77777777" w:rsidTr="00C535C8">
        <w:tc>
          <w:tcPr>
            <w:tcW w:w="2547" w:type="dxa"/>
          </w:tcPr>
          <w:p w14:paraId="62C739B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0FFF161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126" w:type="dxa"/>
          </w:tcPr>
          <w:p w14:paraId="47FFA263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1701" w:type="dxa"/>
          </w:tcPr>
          <w:p w14:paraId="3505799F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956" w:type="dxa"/>
          </w:tcPr>
          <w:p w14:paraId="2E179172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</w:t>
            </w:r>
          </w:p>
        </w:tc>
      </w:tr>
      <w:tr w:rsidR="00A83C78" w:rsidRPr="00217248" w14:paraId="1B952E6F" w14:textId="77777777" w:rsidTr="00C535C8">
        <w:tc>
          <w:tcPr>
            <w:tcW w:w="2547" w:type="dxa"/>
          </w:tcPr>
          <w:p w14:paraId="275830D4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7D55FA2C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66B5CEC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3FD8BC26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78B6E5A7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</w:tbl>
    <w:p w14:paraId="341F4D6B" w14:textId="77777777" w:rsidR="00A83C78" w:rsidRDefault="00A83C78"/>
    <w:p w14:paraId="6CE2E61F" w14:textId="77777777" w:rsidR="00A83C78" w:rsidRDefault="00A83C78"/>
    <w:p w14:paraId="26E0FD42" w14:textId="77777777" w:rsidR="00A83C78" w:rsidRDefault="00A83C78"/>
    <w:p w14:paraId="6967E1C5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color w:val="000000" w:themeColor="text1"/>
        </w:rPr>
        <w:t xml:space="preserve">Összehasonlítás </w:t>
      </w:r>
      <w:proofErr w:type="gramStart"/>
      <w:r w:rsidRPr="00217248">
        <w:rPr>
          <w:rFonts w:ascii="Times New Roman" w:hAnsi="Times New Roman" w:cs="Times New Roman"/>
          <w:b/>
          <w:b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color w:val="000000" w:themeColor="text1"/>
        </w:rPr>
        <w:t xml:space="preserve"> díjak )</w:t>
      </w:r>
    </w:p>
    <w:tbl>
      <w:tblPr>
        <w:tblW w:w="113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2122"/>
        <w:gridCol w:w="1876"/>
        <w:gridCol w:w="160"/>
        <w:gridCol w:w="1928"/>
        <w:gridCol w:w="294"/>
      </w:tblGrid>
      <w:tr w:rsidR="00A83C78" w:rsidRPr="00217248" w14:paraId="20626FD5" w14:textId="77777777" w:rsidTr="006716EF">
        <w:trPr>
          <w:trHeight w:val="115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D371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Intézmények/étkezési típusok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46E56A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Vásárolt élelmezés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2CDBE39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(Ft/adag)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AB791D2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3F61D6F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vásárolt élelmezés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Ft/adag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14:paraId="2780ABFB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proofErr w:type="gramStart"/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Jelenlegi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</w:t>
            </w:r>
            <w:proofErr w:type="gramEnd"/>
          </w:p>
          <w:p w14:paraId="0E52856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Nyersanyagnorma Ft/adag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</w:tcPr>
          <w:p w14:paraId="0ED4129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D8F1DB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 Nyersanyagnorma (Ft/adag)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5C34CB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3E35BDD" w14:textId="77777777" w:rsidTr="006716EF">
        <w:trPr>
          <w:trHeight w:val="30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8FB11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74C05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03017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6D5B75B0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BEC3C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7969268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7A0DF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</w:tr>
      <w:tr w:rsidR="00A83C78" w:rsidRPr="00217248" w14:paraId="6AAFB9FD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7E06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780B29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162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C50EB8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4768666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97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2D0E2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A83CEDF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DA41469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104B60D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F0170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67206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506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53971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49D82E9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5810E09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4304304F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333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2BE13A7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806C64B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8D608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7CB6B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D3B1E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5A5C78DA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85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953B2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00B3FF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AA145FD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13BA01F1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E205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78AB3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4C345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5E7FE622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BAC96F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728822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8161F4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4BD016D5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941A8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88B25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2E3ABA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243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0F8FAED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341E1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8732EF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5DDDF66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02986416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8CDDD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CE3AA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633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ACE85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3759487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348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73EADD0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A9EEC90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DE62EA5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43795CDE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44216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A8124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D1CE7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01EA663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85F8A92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453C6E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D03524E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00681D7B" w14:textId="77777777" w:rsidTr="006716EF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EC8505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7D88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CFA5FFF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5C41B93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6C3FE3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BC26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BEBD1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5B4702F5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FA52B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B01FE9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185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0C52C33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173D725A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114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B58A7A9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324C462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48E89BE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57490C15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9660B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DC833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679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A1EEC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813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1D522B6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366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58B3F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9FDBE0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438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6F4F7B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1AF26505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158C6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760E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183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6E120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3CB67DA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FEFA62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85A7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137168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13A98A1B" w14:textId="77777777" w:rsidTr="006716EF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1A3A2B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367D27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A6C32D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53E7044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9BC4A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2D4F31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7FB0A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D194EA2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3FC8E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9CD01F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7E8E463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3C8EB3D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143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95E02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15C4EF9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171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2943C2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30AEFDD7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A589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54A9F6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849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E0922CD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2F88E38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457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8E39D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84EC27B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547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087B170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7267D218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CE703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4749F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AEE37F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0FE5DC65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44C41F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92479EE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6680C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AC5BE5" w14:paraId="2AD94027" w14:textId="77777777" w:rsidTr="006716E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3E792" w14:textId="77777777" w:rsidR="00A83C78" w:rsidRPr="00AC5BE5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Felnőtt 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078177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551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FE7944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167EE0AD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381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7DFE74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897650F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381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30CBDC6" w14:textId="77777777" w:rsidR="00A83C78" w:rsidRPr="00AC5BE5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</w:tbl>
    <w:p w14:paraId="79521334" w14:textId="5368A97A" w:rsidR="00A83C78" w:rsidRPr="00217248" w:rsidRDefault="00A83C78" w:rsidP="003D1FC7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 xml:space="preserve">Az alábbi tájékoztatóban bemutatjuk, hogy </w:t>
      </w:r>
      <w:r w:rsidR="003D1FC7">
        <w:rPr>
          <w:rFonts w:ascii="Times New Roman" w:hAnsi="Times New Roman" w:cs="Times New Roman"/>
          <w:color w:val="000000" w:themeColor="text1"/>
        </w:rPr>
        <w:t xml:space="preserve">a javasolt emelés elfogadása esetén </w:t>
      </w:r>
      <w:r w:rsidRPr="00217248">
        <w:rPr>
          <w:rFonts w:ascii="Times New Roman" w:hAnsi="Times New Roman" w:cs="Times New Roman"/>
          <w:color w:val="000000" w:themeColor="text1"/>
        </w:rPr>
        <w:t>a 2023. szeptember 1-től érvényes árak alapján mennyi lesz az Önkormányzat, illetve a szülő által fizetendő étkeztetési térítési díj.</w:t>
      </w:r>
    </w:p>
    <w:tbl>
      <w:tblPr>
        <w:tblStyle w:val="TableGrid"/>
        <w:tblW w:w="9167" w:type="dxa"/>
        <w:tblInd w:w="281" w:type="dxa"/>
        <w:tblCellMar>
          <w:top w:w="45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3398"/>
        <w:gridCol w:w="2845"/>
        <w:gridCol w:w="2924"/>
      </w:tblGrid>
      <w:tr w:rsidR="00A83C78" w:rsidRPr="0096754C" w14:paraId="0EBD9560" w14:textId="77777777" w:rsidTr="00C535C8">
        <w:trPr>
          <w:trHeight w:val="691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7B5C3" w14:textId="77777777" w:rsidR="00A83C78" w:rsidRPr="0096754C" w:rsidRDefault="00A83C78" w:rsidP="0081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4EE0F" w14:textId="77777777" w:rsidR="00A83C78" w:rsidRPr="0096754C" w:rsidRDefault="00A83C78" w:rsidP="008105EA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Térítési díj</w:t>
            </w:r>
          </w:p>
          <w:p w14:paraId="33ED5E5C" w14:textId="77777777" w:rsidR="00A83C78" w:rsidRPr="0096754C" w:rsidRDefault="00A83C78" w:rsidP="008105EA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(a szülő által fizetett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bruttó</w:t>
            </w: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9D001" w14:textId="77777777" w:rsidR="00A83C78" w:rsidRPr="0096754C" w:rsidRDefault="00A83C78" w:rsidP="008105E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Önkormányzat által fizetett bruttó összeg</w:t>
            </w:r>
          </w:p>
        </w:tc>
      </w:tr>
      <w:tr w:rsidR="00A83C78" w:rsidRPr="00217248" w14:paraId="37F6019D" w14:textId="77777777" w:rsidTr="00C535C8">
        <w:trPr>
          <w:trHeight w:val="922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843A4" w14:textId="77777777" w:rsidR="00A83C78" w:rsidRPr="00217248" w:rsidRDefault="00A83C78" w:rsidP="008105EA">
            <w:pPr>
              <w:spacing w:after="0" w:line="240" w:lineRule="auto"/>
              <w:ind w:left="15" w:righ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háromszori étkezés egy fő/napra vonatkozó térítési díja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7B429" w14:textId="77777777" w:rsidR="00A83C78" w:rsidRPr="00217248" w:rsidRDefault="00A83C78" w:rsidP="008105EA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700 Ft/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74A9B" w14:textId="77777777" w:rsidR="00A83C78" w:rsidRPr="00217248" w:rsidRDefault="00A83C78" w:rsidP="008105EA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1253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A83C78" w:rsidRPr="00217248" w14:paraId="241204EC" w14:textId="77777777" w:rsidTr="00C535C8">
        <w:trPr>
          <w:trHeight w:val="111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8ADB0" w14:textId="77777777" w:rsidR="00A83C78" w:rsidRPr="00217248" w:rsidRDefault="00A83C78" w:rsidP="008105EA">
            <w:pPr>
              <w:spacing w:after="0" w:line="240" w:lineRule="auto"/>
              <w:ind w:left="15" w:righ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C27FC" w14:textId="77777777" w:rsidR="00A83C78" w:rsidRPr="00217248" w:rsidRDefault="00A83C78" w:rsidP="008105EA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875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36A984" w14:textId="77777777" w:rsidR="00A83C78" w:rsidRPr="00217248" w:rsidRDefault="00A83C78" w:rsidP="008105E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1.568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A83C78" w:rsidRPr="00217248" w14:paraId="74F27F33" w14:textId="77777777" w:rsidTr="00C535C8">
        <w:trPr>
          <w:trHeight w:val="112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38EA6" w14:textId="77777777" w:rsidR="00A83C78" w:rsidRPr="00217248" w:rsidRDefault="00A83C78" w:rsidP="008105EA">
            <w:pPr>
              <w:spacing w:after="0" w:line="240" w:lineRule="auto"/>
              <w:ind w:left="14" w:righ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469FF" w14:textId="77777777" w:rsidR="00A83C78" w:rsidRPr="00217248" w:rsidRDefault="00A83C78" w:rsidP="008105EA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890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3207E" w14:textId="77777777" w:rsidR="00A83C78" w:rsidRPr="00217248" w:rsidRDefault="00A83C78" w:rsidP="008105EA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593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A83C78" w:rsidRPr="00217248" w14:paraId="51E34B09" w14:textId="77777777" w:rsidTr="00C535C8">
        <w:trPr>
          <w:trHeight w:val="853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6CA48" w14:textId="77777777" w:rsidR="00A83C78" w:rsidRPr="00217248" w:rsidRDefault="00A83C78" w:rsidP="008105EA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8ADE49" w14:textId="77777777" w:rsidR="00A83C78" w:rsidRPr="00217248" w:rsidRDefault="00A83C78" w:rsidP="008105EA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1113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7E5DD9" w14:textId="77777777" w:rsidR="00A83C78" w:rsidRPr="00217248" w:rsidRDefault="00A83C78" w:rsidP="008105EA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1991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</w:tbl>
    <w:p w14:paraId="17C28631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2CB30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Telki, 202</w:t>
      </w: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217248">
        <w:rPr>
          <w:rFonts w:ascii="Times New Roman" w:hAnsi="Times New Roman" w:cs="Times New Roman"/>
          <w:color w:val="000000" w:themeColor="text1"/>
        </w:rPr>
        <w:t>augusztus</w:t>
      </w:r>
      <w:r>
        <w:rPr>
          <w:rFonts w:ascii="Times New Roman" w:hAnsi="Times New Roman" w:cs="Times New Roman"/>
          <w:color w:val="000000" w:themeColor="text1"/>
        </w:rPr>
        <w:t xml:space="preserve"> 22</w:t>
      </w:r>
      <w:r w:rsidRPr="00217248"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</w:p>
    <w:p w14:paraId="2C59AB8F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174C7E" w14:textId="77777777" w:rsidR="00A83C78" w:rsidRPr="00217248" w:rsidRDefault="00A83C78" w:rsidP="00A83C78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Deltai Károly</w:t>
      </w:r>
    </w:p>
    <w:p w14:paraId="3676EB21" w14:textId="0E6D1CA1" w:rsidR="00A83C78" w:rsidRDefault="00A83C78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polgármester</w:t>
      </w:r>
    </w:p>
    <w:p w14:paraId="1B5BCD25" w14:textId="77777777" w:rsidR="004E53DC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78D347D" w14:textId="77777777" w:rsidR="004E53DC" w:rsidRPr="004E53DC" w:rsidRDefault="004E53DC" w:rsidP="003D1FC7">
      <w:pPr>
        <w:pStyle w:val="Szvegtrzs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Telki Község Önkormányzata Képviselő-testületének .../.... (...) önkormányzati rendelete</w:t>
      </w:r>
    </w:p>
    <w:p w14:paraId="0F237D13" w14:textId="77777777" w:rsidR="004E53DC" w:rsidRPr="004E53DC" w:rsidRDefault="004E53DC" w:rsidP="003D1FC7">
      <w:pPr>
        <w:pStyle w:val="Szvegtrzs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a Gyermekétkeztetési és egyéb étkeztetési térítési díjak megállapításáról szóló 22/ 2014.</w:t>
      </w:r>
      <w:proofErr w:type="gramStart"/>
      <w:r w:rsidRPr="004E53DC">
        <w:rPr>
          <w:rFonts w:ascii="Times New Roman" w:hAnsi="Times New Roman" w:cs="Times New Roman"/>
          <w:b/>
          <w:bCs/>
        </w:rPr>
        <w:t>( XII</w:t>
      </w:r>
      <w:proofErr w:type="gramEnd"/>
      <w:r w:rsidRPr="004E53DC">
        <w:rPr>
          <w:rFonts w:ascii="Times New Roman" w:hAnsi="Times New Roman" w:cs="Times New Roman"/>
          <w:b/>
          <w:bCs/>
        </w:rPr>
        <w:t xml:space="preserve">.22. ) </w:t>
      </w:r>
      <w:proofErr w:type="spellStart"/>
      <w:r w:rsidRPr="004E53DC">
        <w:rPr>
          <w:rFonts w:ascii="Times New Roman" w:hAnsi="Times New Roman" w:cs="Times New Roman"/>
          <w:b/>
          <w:bCs/>
        </w:rPr>
        <w:t>Ör</w:t>
      </w:r>
      <w:proofErr w:type="spellEnd"/>
      <w:r w:rsidRPr="004E53DC">
        <w:rPr>
          <w:rFonts w:ascii="Times New Roman" w:hAnsi="Times New Roman" w:cs="Times New Roman"/>
          <w:b/>
          <w:bCs/>
        </w:rPr>
        <w:t>. számú rendelet módosításáról</w:t>
      </w:r>
    </w:p>
    <w:p w14:paraId="5F81F753" w14:textId="77777777" w:rsidR="004E53DC" w:rsidRPr="004E53DC" w:rsidRDefault="004E53DC" w:rsidP="003D1FC7">
      <w:pPr>
        <w:pStyle w:val="Szvegtrzs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Telki Község Képviselő-testülete az Alaptörvény 32.cikk (2) bekezdésében biztosított feladatkörben eljárva a gyermekek védelméről és gyámügyi igazgatásról szóló 1997. évi XXXI. törvény 29 §. (1) bekezdésben kapott felhatalmazása alapján az alábbi rendeletet alkotja.</w:t>
      </w:r>
    </w:p>
    <w:p w14:paraId="17FA188D" w14:textId="77777777" w:rsidR="004E53DC" w:rsidRPr="004E53DC" w:rsidRDefault="004E53DC" w:rsidP="004E53DC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1. §</w:t>
      </w:r>
    </w:p>
    <w:p w14:paraId="708C9430" w14:textId="77777777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A Telki község Képviselő-testületének 22/ 2014.</w:t>
      </w:r>
      <w:proofErr w:type="gramStart"/>
      <w:r w:rsidRPr="004E53DC">
        <w:rPr>
          <w:rFonts w:ascii="Times New Roman" w:hAnsi="Times New Roman" w:cs="Times New Roman"/>
        </w:rPr>
        <w:t>( XII</w:t>
      </w:r>
      <w:proofErr w:type="gramEnd"/>
      <w:r w:rsidRPr="004E53DC">
        <w:rPr>
          <w:rFonts w:ascii="Times New Roman" w:hAnsi="Times New Roman" w:cs="Times New Roman"/>
        </w:rPr>
        <w:t xml:space="preserve">.22. ) </w:t>
      </w:r>
      <w:proofErr w:type="spellStart"/>
      <w:r w:rsidRPr="004E53DC">
        <w:rPr>
          <w:rFonts w:ascii="Times New Roman" w:hAnsi="Times New Roman" w:cs="Times New Roman"/>
        </w:rPr>
        <w:t>Ör</w:t>
      </w:r>
      <w:proofErr w:type="spellEnd"/>
      <w:r w:rsidRPr="004E53DC">
        <w:rPr>
          <w:rFonts w:ascii="Times New Roman" w:hAnsi="Times New Roman" w:cs="Times New Roman"/>
        </w:rPr>
        <w:t>. számú rendelete a Gyermekétkeztetési és egyéb étkeztetési térítési díjak megállapításáról szóló 22/2014 (XII.22.) önkormányzati rendelet</w:t>
      </w:r>
    </w:p>
    <w:p w14:paraId="5C1DF3C4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a)</w:t>
      </w:r>
      <w:r w:rsidRPr="004E53DC">
        <w:rPr>
          <w:rFonts w:ascii="Times New Roman" w:hAnsi="Times New Roman" w:cs="Times New Roman"/>
        </w:rPr>
        <w:tab/>
        <w:t>3. mellékletében foglalt táblázat „Óvodai tízórai” sor 2. mezőjében a „97” szövegrész helyébe a „116” szöveg,</w:t>
      </w:r>
    </w:p>
    <w:p w14:paraId="041D89A3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b)</w:t>
      </w:r>
      <w:r w:rsidRPr="004E53DC">
        <w:rPr>
          <w:rFonts w:ascii="Times New Roman" w:hAnsi="Times New Roman" w:cs="Times New Roman"/>
        </w:rPr>
        <w:tab/>
        <w:t>3. mellékletében foglalt táblázat „Óvoda ebéd” sor 2. mezőjében a „278” szövegrész helyébe a „333” szöveg,</w:t>
      </w:r>
    </w:p>
    <w:p w14:paraId="7C35E71C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c)</w:t>
      </w:r>
      <w:r w:rsidRPr="004E53DC">
        <w:rPr>
          <w:rFonts w:ascii="Times New Roman" w:hAnsi="Times New Roman" w:cs="Times New Roman"/>
        </w:rPr>
        <w:tab/>
        <w:t>3. mellékletében foglalt táblázat „Óvoda uzsonna” sor 2. mezőjében a „85” szövegrész helyébe a „102” szöveg,</w:t>
      </w:r>
    </w:p>
    <w:p w14:paraId="3AF02684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d)</w:t>
      </w:r>
      <w:r w:rsidRPr="004E53DC">
        <w:rPr>
          <w:rFonts w:ascii="Times New Roman" w:hAnsi="Times New Roman" w:cs="Times New Roman"/>
        </w:rPr>
        <w:tab/>
        <w:t>3. mellékletében foglalt táblázat „Óvoda összesen” sor 2. mezőjében a „460” szövegrész helyébe az „551” szöveg,</w:t>
      </w:r>
    </w:p>
    <w:p w14:paraId="2A026DD8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e)</w:t>
      </w:r>
      <w:r w:rsidRPr="004E53DC">
        <w:rPr>
          <w:rFonts w:ascii="Times New Roman" w:hAnsi="Times New Roman" w:cs="Times New Roman"/>
        </w:rPr>
        <w:tab/>
        <w:t>3. mellékletében foglalt táblázat „Óvodai tízórai diétás” sor 2. mezőjében a „121” szövegrész helyébe a „145” szöveg,</w:t>
      </w:r>
    </w:p>
    <w:p w14:paraId="3A3CD3C8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f)</w:t>
      </w:r>
      <w:r w:rsidRPr="004E53DC">
        <w:rPr>
          <w:rFonts w:ascii="Times New Roman" w:hAnsi="Times New Roman" w:cs="Times New Roman"/>
        </w:rPr>
        <w:tab/>
        <w:t>3. mellékletében foglalt táblázat „Óvodai ebéd diétás” sor 2. mezőjében a „348” szövegrész helyébe a „417” szöveg,</w:t>
      </w:r>
    </w:p>
    <w:p w14:paraId="4A95711A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g)</w:t>
      </w:r>
      <w:r w:rsidRPr="004E53DC">
        <w:rPr>
          <w:rFonts w:ascii="Times New Roman" w:hAnsi="Times New Roman" w:cs="Times New Roman"/>
        </w:rPr>
        <w:tab/>
        <w:t>3. mellékletében foglalt táblázat „Óvodai uzsonna diétás” sor 2. mezőjében a „106” szövegrész helyébe a „127” szöveg,</w:t>
      </w:r>
    </w:p>
    <w:p w14:paraId="6220DD4B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h)</w:t>
      </w:r>
      <w:r w:rsidRPr="004E53DC">
        <w:rPr>
          <w:rFonts w:ascii="Times New Roman" w:hAnsi="Times New Roman" w:cs="Times New Roman"/>
        </w:rPr>
        <w:tab/>
        <w:t>3. mellékletében foglalt táblázat „Óvoda diétás összesen” sor 2. mezőjében az „575” szövegrész helyébe a „689” szöveg,</w:t>
      </w:r>
    </w:p>
    <w:p w14:paraId="21D660D6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i)</w:t>
      </w:r>
      <w:r w:rsidRPr="004E53DC">
        <w:rPr>
          <w:rFonts w:ascii="Times New Roman" w:hAnsi="Times New Roman" w:cs="Times New Roman"/>
        </w:rPr>
        <w:tab/>
        <w:t>3. mellékletében foglalt táblázat „Iskola tízórai” sor 2. mezőjében a „114” szövegrész helyébe a „137” szöveg,</w:t>
      </w:r>
    </w:p>
    <w:p w14:paraId="384DBC5F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j)</w:t>
      </w:r>
      <w:r w:rsidRPr="004E53DC">
        <w:rPr>
          <w:rFonts w:ascii="Times New Roman" w:hAnsi="Times New Roman" w:cs="Times New Roman"/>
        </w:rPr>
        <w:tab/>
        <w:t>3. mellékletében foglalt táblázat „Iskola ebéd” sor 2. mezőjében a „366” szövegrész helyébe a „438” szöveg,</w:t>
      </w:r>
    </w:p>
    <w:p w14:paraId="19405F0E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k)</w:t>
      </w:r>
      <w:r w:rsidRPr="004E53DC">
        <w:rPr>
          <w:rFonts w:ascii="Times New Roman" w:hAnsi="Times New Roman" w:cs="Times New Roman"/>
        </w:rPr>
        <w:tab/>
        <w:t>3. mellékletében foglalt táblázat „Iskola uzsonna” sor 2. mezőjében a „105” szövegrész helyébe a „126” szöveg,</w:t>
      </w:r>
    </w:p>
    <w:p w14:paraId="558B6E0E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l)</w:t>
      </w:r>
      <w:r w:rsidRPr="004E53DC">
        <w:rPr>
          <w:rFonts w:ascii="Times New Roman" w:hAnsi="Times New Roman" w:cs="Times New Roman"/>
        </w:rPr>
        <w:tab/>
        <w:t>3. mellékletében foglalt táblázat „Iskola összesen:” sor 2. mezőjében az „585” szövegrész helyébe a „701” szöveg,</w:t>
      </w:r>
    </w:p>
    <w:p w14:paraId="610A0459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m)</w:t>
      </w:r>
      <w:r w:rsidRPr="004E53DC">
        <w:rPr>
          <w:rFonts w:ascii="Times New Roman" w:hAnsi="Times New Roman" w:cs="Times New Roman"/>
        </w:rPr>
        <w:tab/>
        <w:t>3. mellékletében foglalt táblázat „Iskola tízórai diétás” sor 2. mezőjében a „143” szövegrész helyébe a „171” szöveg,</w:t>
      </w:r>
    </w:p>
    <w:p w14:paraId="5855AE6F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n)</w:t>
      </w:r>
      <w:r w:rsidRPr="004E53DC">
        <w:rPr>
          <w:rFonts w:ascii="Times New Roman" w:hAnsi="Times New Roman" w:cs="Times New Roman"/>
        </w:rPr>
        <w:tab/>
        <w:t>3. mellékletében foglalt táblázat „Iskola ebéd diétás” sor 2. mezőjében a „457” szövegrész helyébe az „547” szöveg,</w:t>
      </w:r>
    </w:p>
    <w:p w14:paraId="6A11CBF0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o)</w:t>
      </w:r>
      <w:r w:rsidRPr="004E53DC">
        <w:rPr>
          <w:rFonts w:ascii="Times New Roman" w:hAnsi="Times New Roman" w:cs="Times New Roman"/>
        </w:rPr>
        <w:tab/>
        <w:t>3. mellékletében foglalt táblázat „Iskola uzsonna diétás” sor 2. mezőjében a „132” szövegrész helyébe a „158” szöveg,</w:t>
      </w:r>
    </w:p>
    <w:p w14:paraId="47C99A71" w14:textId="77777777" w:rsidR="004E53DC" w:rsidRPr="004E53DC" w:rsidRDefault="004E53DC" w:rsidP="004E53DC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  <w:i/>
          <w:iCs/>
        </w:rPr>
        <w:t>p)</w:t>
      </w:r>
      <w:r w:rsidRPr="004E53DC">
        <w:rPr>
          <w:rFonts w:ascii="Times New Roman" w:hAnsi="Times New Roman" w:cs="Times New Roman"/>
        </w:rPr>
        <w:tab/>
        <w:t>3. mellékletében foglalt táblázat „Iskolai diétás összesen” sor 2. mezőjében a „732” szövegrész helyébe a „876” szöveg</w:t>
      </w:r>
    </w:p>
    <w:p w14:paraId="1C36BC3E" w14:textId="77777777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lép.</w:t>
      </w:r>
    </w:p>
    <w:p w14:paraId="7AE04C2B" w14:textId="77777777" w:rsidR="004E53DC" w:rsidRPr="004E53DC" w:rsidRDefault="004E53DC" w:rsidP="004E53DC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E53DC">
        <w:rPr>
          <w:rFonts w:ascii="Times New Roman" w:hAnsi="Times New Roman" w:cs="Times New Roman"/>
          <w:b/>
          <w:bCs/>
        </w:rPr>
        <w:t>2. §</w:t>
      </w:r>
    </w:p>
    <w:p w14:paraId="09D70FED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4E53DC">
        <w:rPr>
          <w:rFonts w:ascii="Times New Roman" w:hAnsi="Times New Roman" w:cs="Times New Roman"/>
        </w:rPr>
        <w:t>Ez a rendelet a kihirdetését követő harmadik napon lép hatályba.</w:t>
      </w:r>
    </w:p>
    <w:p w14:paraId="586AA746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2C081CCA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53A89846" w14:textId="713A9AF0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Lack Mónika</w:t>
      </w:r>
    </w:p>
    <w:p w14:paraId="0A99540D" w14:textId="7056DF6C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jegyző</w:t>
      </w:r>
    </w:p>
    <w:p w14:paraId="5D34A43A" w14:textId="77777777" w:rsidR="004E53DC" w:rsidRPr="004E53DC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4E53DC" w:rsidRPr="004E53DC" w:rsidSect="00A83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7F4E"/>
    <w:multiLevelType w:val="hybridMultilevel"/>
    <w:tmpl w:val="6A580836"/>
    <w:lvl w:ilvl="0" w:tplc="04F69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0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8"/>
    <w:rsid w:val="001329DD"/>
    <w:rsid w:val="003D1FC7"/>
    <w:rsid w:val="004E53DC"/>
    <w:rsid w:val="006716EF"/>
    <w:rsid w:val="008105EA"/>
    <w:rsid w:val="008552BC"/>
    <w:rsid w:val="00A83C78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DC5"/>
  <w15:chartTrackingRefBased/>
  <w15:docId w15:val="{53FC6AB0-B921-4B0E-B172-300B800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3C78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3C78"/>
    <w:rPr>
      <w:color w:val="0000FF"/>
      <w:u w:val="single"/>
    </w:rPr>
  </w:style>
  <w:style w:type="table" w:styleId="Rcsostblzat">
    <w:name w:val="Table Grid"/>
    <w:basedOn w:val="Normltblzat"/>
    <w:uiPriority w:val="59"/>
    <w:rsid w:val="00A83C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A83C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A83C7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83C78"/>
    <w:pPr>
      <w:ind w:left="720"/>
      <w:contextualSpacing/>
    </w:pPr>
  </w:style>
  <w:style w:type="table" w:customStyle="1" w:styleId="TableGrid">
    <w:name w:val="TableGrid"/>
    <w:rsid w:val="00A83C7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semiHidden/>
    <w:unhideWhenUsed/>
    <w:rsid w:val="004E53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3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700031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99700031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1400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</cp:revision>
  <dcterms:created xsi:type="dcterms:W3CDTF">2023-08-22T08:58:00Z</dcterms:created>
  <dcterms:modified xsi:type="dcterms:W3CDTF">2023-08-24T08:22:00Z</dcterms:modified>
</cp:coreProperties>
</file>